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Public Procurement Plan for 2026</w:t>
      </w:r>
    </w:p>
    <w:p>
      <w:r>
        <w:t xml:space="preserve"/>
      </w:r>
    </w:p>
    <w:p>
      <w:r>
        <w:t xml:space="preserve">Pursuant to Article 88 of the Public Procurement Act, the municipality adopts the annual procurement plan.</w:t>
      </w:r>
    </w:p>
    <w:p>
      <w:r>
        <w:t xml:space="preserve"/>
      </w:r>
    </w:p>
    <w:p>
      <w:r>
        <w:t xml:space="preserve">1. Office supplies — estimated value: 2,000,000 RSD</w:t>
      </w:r>
    </w:p>
    <w:p>
      <w:r>
        <w:t xml:space="preserve">2. Road maintenance — estimated value: 15,000,000 RSD</w:t>
      </w:r>
    </w:p>
    <w:p>
      <w:r>
        <w:t xml:space="preserve">3. IT equipment — estimated value: 5,000,000 RSD</w:t>
      </w:r>
    </w:p>
  </w:body>
</w:document>
</file>

<file path=word/_rels/document.xml.rels><?xml version="1.0" encoding="UTF-8" standalone="yes"?><Relationships xmlns="http://schemas.openxmlformats.org/package/2006/relationships"></Relationships>
</file>